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17D4" w14:textId="77777777" w:rsidR="00281589" w:rsidRDefault="000218EB">
      <w:pPr>
        <w:pStyle w:val="Heading1"/>
      </w:pPr>
      <w:r>
        <w:t>Reasonable Accommodations for Menopausal Symptoms</w:t>
      </w:r>
    </w:p>
    <w:p w14:paraId="6E69DD9B" w14:textId="77777777" w:rsidR="00281589" w:rsidRDefault="000218EB">
      <w:r>
        <w:t xml:space="preserve">The following examples outline practical and supportive adjustments employers can offer to help employees manage menopausal symptoms in the workplace. These accommodations promote wellbeing, </w:t>
      </w:r>
      <w:r>
        <w:t>productivity, and inclusivity.</w:t>
      </w:r>
    </w:p>
    <w:p w14:paraId="6E6768FC" w14:textId="77777777" w:rsidR="00281589" w:rsidRDefault="000218EB">
      <w:pPr>
        <w:pStyle w:val="Heading2"/>
      </w:pPr>
      <w:r>
        <w:t>Hot Flushes / Night Sweats</w:t>
      </w:r>
    </w:p>
    <w:p w14:paraId="1033781F" w14:textId="77777777" w:rsidR="00281589" w:rsidRDefault="000218EB">
      <w:pPr>
        <w:pStyle w:val="ListBullet"/>
      </w:pPr>
      <w:r>
        <w:t>• Provide fans or access to temperature control in workspace.</w:t>
      </w:r>
    </w:p>
    <w:p w14:paraId="2193F862" w14:textId="77777777" w:rsidR="00281589" w:rsidRDefault="000218EB">
      <w:pPr>
        <w:pStyle w:val="ListBullet"/>
      </w:pPr>
      <w:r>
        <w:t>• Allow short breaks to cool down or step outside.</w:t>
      </w:r>
    </w:p>
    <w:p w14:paraId="44AC8724" w14:textId="77777777" w:rsidR="00281589" w:rsidRDefault="000218EB">
      <w:pPr>
        <w:pStyle w:val="ListBullet"/>
      </w:pPr>
      <w:r>
        <w:t>• Offer access to cool drinking water.</w:t>
      </w:r>
    </w:p>
    <w:p w14:paraId="29C94B1E" w14:textId="77777777" w:rsidR="00281589" w:rsidRDefault="000218EB">
      <w:pPr>
        <w:pStyle w:val="ListBullet"/>
      </w:pPr>
      <w:r>
        <w:t>• Permit uniform adjustments or lighter fabrics where possible.</w:t>
      </w:r>
    </w:p>
    <w:p w14:paraId="2A538BFA" w14:textId="77777777" w:rsidR="00281589" w:rsidRDefault="000218EB">
      <w:pPr>
        <w:pStyle w:val="ListBullet"/>
      </w:pPr>
      <w:r>
        <w:t>• Provide seating near a window or in a well-ventilated area.</w:t>
      </w:r>
    </w:p>
    <w:p w14:paraId="622DB3A2" w14:textId="77777777" w:rsidR="00281589" w:rsidRDefault="000218EB">
      <w:pPr>
        <w:pStyle w:val="Heading2"/>
      </w:pPr>
      <w:r>
        <w:t>Fatigue / Poor Sleep</w:t>
      </w:r>
    </w:p>
    <w:p w14:paraId="0E514870" w14:textId="77777777" w:rsidR="00281589" w:rsidRDefault="000218EB">
      <w:pPr>
        <w:pStyle w:val="ListBullet"/>
      </w:pPr>
      <w:r>
        <w:t>• Offer flexible start and finish times.</w:t>
      </w:r>
    </w:p>
    <w:p w14:paraId="5F54AA75" w14:textId="77777777" w:rsidR="00281589" w:rsidRDefault="000218EB">
      <w:pPr>
        <w:pStyle w:val="ListBullet"/>
      </w:pPr>
      <w:r>
        <w:t>• Allow hybrid or remote work arrangements where feasible.</w:t>
      </w:r>
    </w:p>
    <w:p w14:paraId="4E1C2611" w14:textId="77777777" w:rsidR="00281589" w:rsidRDefault="000218EB">
      <w:pPr>
        <w:pStyle w:val="ListBullet"/>
      </w:pPr>
      <w:r>
        <w:t>• Encourage use of wellbeing or rest breaks.</w:t>
      </w:r>
    </w:p>
    <w:p w14:paraId="28ED32AB" w14:textId="77777777" w:rsidR="00281589" w:rsidRDefault="000218EB">
      <w:pPr>
        <w:pStyle w:val="ListBullet"/>
      </w:pPr>
      <w:r>
        <w:t>• Avoid scheduling critical meetings early in the morning.</w:t>
      </w:r>
    </w:p>
    <w:p w14:paraId="2EBD9174" w14:textId="77777777" w:rsidR="00281589" w:rsidRDefault="000218EB">
      <w:pPr>
        <w:pStyle w:val="ListBullet"/>
      </w:pPr>
      <w:r>
        <w:t>• Provide access to Employee Assistance Programme (EAP) for sleep and stress support.</w:t>
      </w:r>
    </w:p>
    <w:p w14:paraId="3981E5FC" w14:textId="77777777" w:rsidR="00281589" w:rsidRDefault="000218EB">
      <w:pPr>
        <w:pStyle w:val="Heading2"/>
      </w:pPr>
      <w:r>
        <w:t>Mood Changes / Anxiety</w:t>
      </w:r>
    </w:p>
    <w:p w14:paraId="4760BC07" w14:textId="77777777" w:rsidR="00281589" w:rsidRDefault="000218EB">
      <w:pPr>
        <w:pStyle w:val="ListBullet"/>
      </w:pPr>
      <w:r>
        <w:t>• Encourage open conversations with line managers or HR.</w:t>
      </w:r>
    </w:p>
    <w:p w14:paraId="651A3D52" w14:textId="77777777" w:rsidR="00281589" w:rsidRDefault="000218EB">
      <w:pPr>
        <w:pStyle w:val="ListBullet"/>
      </w:pPr>
      <w:r>
        <w:t>• Offer access to EAP or counselling services.</w:t>
      </w:r>
    </w:p>
    <w:p w14:paraId="3AAF5864" w14:textId="77777777" w:rsidR="00281589" w:rsidRDefault="000218EB">
      <w:pPr>
        <w:pStyle w:val="ListBullet"/>
      </w:pPr>
      <w:r>
        <w:t>• Create a buddy or peer-support system.</w:t>
      </w:r>
    </w:p>
    <w:p w14:paraId="73DED9DA" w14:textId="77777777" w:rsidR="00281589" w:rsidRDefault="000218EB">
      <w:pPr>
        <w:pStyle w:val="ListBullet"/>
      </w:pPr>
      <w:r>
        <w:t>• Allow quiet spaces for reflection or decompression.</w:t>
      </w:r>
    </w:p>
    <w:p w14:paraId="4758851E" w14:textId="77777777" w:rsidR="00281589" w:rsidRDefault="000218EB">
      <w:pPr>
        <w:pStyle w:val="ListBullet"/>
      </w:pPr>
      <w:r>
        <w:t>• Provide mental health awareness and stress management training.</w:t>
      </w:r>
    </w:p>
    <w:p w14:paraId="29F7B2BB" w14:textId="77777777" w:rsidR="00281589" w:rsidRDefault="000218EB">
      <w:pPr>
        <w:pStyle w:val="Heading2"/>
      </w:pPr>
      <w:r>
        <w:t>Memory or Concentration Issues (‘Brain Fog’)</w:t>
      </w:r>
    </w:p>
    <w:p w14:paraId="1E9079D1" w14:textId="77777777" w:rsidR="00281589" w:rsidRDefault="000218EB">
      <w:pPr>
        <w:pStyle w:val="ListBullet"/>
      </w:pPr>
      <w:r>
        <w:t>• Allow the use of notebooks, reminders, or digital organisation tools.</w:t>
      </w:r>
    </w:p>
    <w:p w14:paraId="279DFE26" w14:textId="77777777" w:rsidR="00281589" w:rsidRDefault="000218EB">
      <w:pPr>
        <w:pStyle w:val="ListBullet"/>
      </w:pPr>
      <w:r>
        <w:t>• Avoid back-to-back meetings where possible.</w:t>
      </w:r>
    </w:p>
    <w:p w14:paraId="732BCC9F" w14:textId="77777777" w:rsidR="00281589" w:rsidRDefault="000218EB">
      <w:pPr>
        <w:pStyle w:val="ListBullet"/>
      </w:pPr>
      <w:r>
        <w:t>• Clarify written instructions and key tasks.</w:t>
      </w:r>
    </w:p>
    <w:p w14:paraId="7255E146" w14:textId="77777777" w:rsidR="00281589" w:rsidRDefault="000218EB">
      <w:pPr>
        <w:pStyle w:val="ListBullet"/>
      </w:pPr>
      <w:r>
        <w:t>• Encourage regular one-to-one check-ins for workload management.</w:t>
      </w:r>
    </w:p>
    <w:p w14:paraId="63B041D3" w14:textId="77777777" w:rsidR="00281589" w:rsidRDefault="000218EB">
      <w:pPr>
        <w:pStyle w:val="ListBullet"/>
      </w:pPr>
      <w:r>
        <w:t>• Provide training refreshers or follow-up notes after meetings.</w:t>
      </w:r>
    </w:p>
    <w:p w14:paraId="7BDA1E2E" w14:textId="77777777" w:rsidR="00281589" w:rsidRDefault="000218EB">
      <w:pPr>
        <w:pStyle w:val="Heading2"/>
      </w:pPr>
      <w:r>
        <w:t>Headaches / Migraines</w:t>
      </w:r>
    </w:p>
    <w:p w14:paraId="79C4C571" w14:textId="77777777" w:rsidR="00281589" w:rsidRDefault="000218EB">
      <w:pPr>
        <w:pStyle w:val="ListBullet"/>
      </w:pPr>
      <w:r>
        <w:t>• Provide access to natural light or adjustable lighting.</w:t>
      </w:r>
    </w:p>
    <w:p w14:paraId="0CD76E46" w14:textId="77777777" w:rsidR="00281589" w:rsidRDefault="000218EB">
      <w:pPr>
        <w:pStyle w:val="ListBullet"/>
      </w:pPr>
      <w:r>
        <w:t>• Offer quiet spaces or allow remote working when symptoms occur.</w:t>
      </w:r>
    </w:p>
    <w:p w14:paraId="3FAE2E66" w14:textId="77777777" w:rsidR="00281589" w:rsidRDefault="000218EB">
      <w:pPr>
        <w:pStyle w:val="ListBullet"/>
      </w:pPr>
      <w:r>
        <w:t>• Avoid exposure to strong odours or fluctuating temperatures.</w:t>
      </w:r>
    </w:p>
    <w:p w14:paraId="1836D706" w14:textId="77777777" w:rsidR="00281589" w:rsidRDefault="000218EB">
      <w:pPr>
        <w:pStyle w:val="ListBullet"/>
      </w:pPr>
      <w:r>
        <w:t xml:space="preserve">• Encourage regular hydration and short screen </w:t>
      </w:r>
      <w:r>
        <w:t>breaks.</w:t>
      </w:r>
    </w:p>
    <w:p w14:paraId="0AE3BE1A" w14:textId="77777777" w:rsidR="00281589" w:rsidRDefault="000218EB">
      <w:pPr>
        <w:pStyle w:val="Heading2"/>
      </w:pPr>
      <w:r>
        <w:t>Heavy Periods</w:t>
      </w:r>
    </w:p>
    <w:p w14:paraId="5E009268" w14:textId="77777777" w:rsidR="00281589" w:rsidRDefault="000218EB">
      <w:pPr>
        <w:pStyle w:val="ListBullet"/>
      </w:pPr>
      <w:r>
        <w:t>• Ensure easy access to toilets and hygiene facilities.</w:t>
      </w:r>
    </w:p>
    <w:p w14:paraId="56FD8B01" w14:textId="77777777" w:rsidR="00281589" w:rsidRDefault="000218EB">
      <w:pPr>
        <w:pStyle w:val="ListBullet"/>
      </w:pPr>
      <w:r>
        <w:lastRenderedPageBreak/>
        <w:t>• Allow flexibility to step away as needed.</w:t>
      </w:r>
    </w:p>
    <w:p w14:paraId="57CA7C6E" w14:textId="77777777" w:rsidR="00281589" w:rsidRDefault="000218EB">
      <w:pPr>
        <w:pStyle w:val="ListBullet"/>
      </w:pPr>
      <w:r>
        <w:t>• Provide spare uniforms or clothing options if applicable.</w:t>
      </w:r>
    </w:p>
    <w:p w14:paraId="0E14645A" w14:textId="77777777" w:rsidR="00281589" w:rsidRDefault="000218EB">
      <w:pPr>
        <w:pStyle w:val="ListBullet"/>
      </w:pPr>
      <w:r>
        <w:t>• Review tasks requiring prolonged standing or physical activity.</w:t>
      </w:r>
    </w:p>
    <w:p w14:paraId="3F5A82BF" w14:textId="77777777" w:rsidR="00281589" w:rsidRDefault="000218EB">
      <w:pPr>
        <w:pStyle w:val="Heading2"/>
      </w:pPr>
      <w:r>
        <w:t>Joint Pain / Aches</w:t>
      </w:r>
    </w:p>
    <w:p w14:paraId="0E56C01E" w14:textId="77777777" w:rsidR="00281589" w:rsidRDefault="000218EB">
      <w:pPr>
        <w:pStyle w:val="ListBullet"/>
      </w:pPr>
      <w:r>
        <w:t>• Offer ergonomic seating and workstations.</w:t>
      </w:r>
    </w:p>
    <w:p w14:paraId="3114F380" w14:textId="77777777" w:rsidR="00281589" w:rsidRDefault="000218EB">
      <w:pPr>
        <w:pStyle w:val="ListBullet"/>
      </w:pPr>
      <w:r>
        <w:t>• Allow movement breaks or light stretching during long sitting periods.</w:t>
      </w:r>
    </w:p>
    <w:p w14:paraId="0BCE3C9C" w14:textId="77777777" w:rsidR="00281589" w:rsidRDefault="000218EB">
      <w:pPr>
        <w:pStyle w:val="ListBullet"/>
      </w:pPr>
      <w:r>
        <w:t>• Provide supportive footwear or standing mats for relevant roles.</w:t>
      </w:r>
    </w:p>
    <w:p w14:paraId="01F7EE9D" w14:textId="77777777" w:rsidR="00281589" w:rsidRDefault="000218EB">
      <w:pPr>
        <w:pStyle w:val="ListBullet"/>
      </w:pPr>
      <w:r>
        <w:t>• Consider physiotherapy access through occupational health benefits.</w:t>
      </w:r>
    </w:p>
    <w:p w14:paraId="1F89AA85" w14:textId="77777777" w:rsidR="00281589" w:rsidRDefault="000218EB">
      <w:pPr>
        <w:pStyle w:val="Heading2"/>
      </w:pPr>
      <w:r>
        <w:t>Loss of Confidence / Isolation</w:t>
      </w:r>
    </w:p>
    <w:p w14:paraId="7F5F6D9B" w14:textId="77777777" w:rsidR="00281589" w:rsidRDefault="000218EB">
      <w:pPr>
        <w:pStyle w:val="ListBullet"/>
      </w:pPr>
      <w:r>
        <w:t>• Encourage mentoring, coaching, or peer-support networks.</w:t>
      </w:r>
    </w:p>
    <w:p w14:paraId="0AFCDA7C" w14:textId="77777777" w:rsidR="00281589" w:rsidRDefault="000218EB">
      <w:pPr>
        <w:pStyle w:val="ListBullet"/>
      </w:pPr>
      <w:r>
        <w:t>• Promote inclusion through awareness campaigns and training.</w:t>
      </w:r>
    </w:p>
    <w:p w14:paraId="21566E3D" w14:textId="77777777" w:rsidR="00281589" w:rsidRDefault="000218EB">
      <w:pPr>
        <w:pStyle w:val="ListBullet"/>
      </w:pPr>
      <w:r>
        <w:t>• Provide regular positive feedback and recognition.</w:t>
      </w:r>
    </w:p>
    <w:p w14:paraId="0BCFCD91" w14:textId="77777777" w:rsidR="00281589" w:rsidRDefault="000218EB">
      <w:pPr>
        <w:pStyle w:val="ListBullet"/>
      </w:pPr>
      <w:r>
        <w:t>• Foster a culture of open discussion without stigma.</w:t>
      </w:r>
    </w:p>
    <w:sectPr w:rsidR="002815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38981">
    <w:abstractNumId w:val="8"/>
  </w:num>
  <w:num w:numId="2" w16cid:durableId="1704399992">
    <w:abstractNumId w:val="6"/>
  </w:num>
  <w:num w:numId="3" w16cid:durableId="1115759146">
    <w:abstractNumId w:val="5"/>
  </w:num>
  <w:num w:numId="4" w16cid:durableId="1873692867">
    <w:abstractNumId w:val="4"/>
  </w:num>
  <w:num w:numId="5" w16cid:durableId="1171791892">
    <w:abstractNumId w:val="7"/>
  </w:num>
  <w:num w:numId="6" w16cid:durableId="1258364226">
    <w:abstractNumId w:val="3"/>
  </w:num>
  <w:num w:numId="7" w16cid:durableId="884874994">
    <w:abstractNumId w:val="2"/>
  </w:num>
  <w:num w:numId="8" w16cid:durableId="373309838">
    <w:abstractNumId w:val="1"/>
  </w:num>
  <w:num w:numId="9" w16cid:durableId="84405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8EB"/>
    <w:rsid w:val="00034616"/>
    <w:rsid w:val="0006063C"/>
    <w:rsid w:val="0015074B"/>
    <w:rsid w:val="00281589"/>
    <w:rsid w:val="0029639D"/>
    <w:rsid w:val="00326F90"/>
    <w:rsid w:val="00AA1D8D"/>
    <w:rsid w:val="00B47730"/>
    <w:rsid w:val="00CB0664"/>
    <w:rsid w:val="00D611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04796"/>
  <w14:defaultImageDpi w14:val="300"/>
  <w15:docId w15:val="{0C084209-026F-43F8-B498-513608C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landsberg</cp:lastModifiedBy>
  <cp:revision>2</cp:revision>
  <dcterms:created xsi:type="dcterms:W3CDTF">2025-10-11T14:57:00Z</dcterms:created>
  <dcterms:modified xsi:type="dcterms:W3CDTF">2025-10-11T14:57:00Z</dcterms:modified>
  <cp:category/>
</cp:coreProperties>
</file>